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/>
          <w:bCs/>
          <w:sz w:val="28"/>
          <w:szCs w:val="28"/>
        </w:rPr>
        <w:t>АРА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НОВСКОГО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08712B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72425B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08712B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r w:rsidR="007242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31 марта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</w:t>
      </w:r>
      <w:r w:rsidR="007242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с.Б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арановка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08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администрации Б</w:t>
            </w:r>
            <w:r w:rsidR="000871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ара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новск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го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="000871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новского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на основании статьи 30 Устава 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3E79B3" w:rsidRPr="00E50D18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="003E79B3" w:rsidRPr="00E50D18">
        <w:rPr>
          <w:rFonts w:ascii="Times New Roman" w:eastAsia="Times New Roman" w:hAnsi="Times New Roman" w:cs="Times New Roman"/>
          <w:bCs/>
          <w:sz w:val="28"/>
          <w:szCs w:val="28"/>
        </w:rPr>
        <w:t>новского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>Внести с постановление администрации Б</w:t>
      </w:r>
      <w:r w:rsidR="0008712B">
        <w:rPr>
          <w:rFonts w:ascii="Times New Roman" w:eastAsia="Times New Roman" w:hAnsi="Times New Roman" w:cs="Times New Roman"/>
          <w:spacing w:val="2"/>
          <w:sz w:val="28"/>
          <w:szCs w:val="28"/>
        </w:rPr>
        <w:t>ара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>новск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2019 года № 38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новского муниципального образования» (с изменениями от 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г. №1</w:t>
      </w:r>
      <w:r w:rsidR="0008712B">
        <w:rPr>
          <w:rFonts w:ascii="Times New Roman" w:hAnsi="Times New Roman" w:cs="Times New Roman"/>
          <w:sz w:val="28"/>
          <w:szCs w:val="28"/>
        </w:rPr>
        <w:t>8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5E80" w:rsidRPr="00322684" w:rsidRDefault="00C35E80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425B" w:rsidRDefault="0072425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8712B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подлежит официальному опубликованию в газете «Вольский Деловой Вестник» и размещению на официальном сайте администрации Б</w:t>
      </w:r>
      <w:r w:rsidR="0008712B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</w:t>
      </w:r>
      <w:r w:rsidR="00087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арано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вского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BB50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08712B">
        <w:rPr>
          <w:rFonts w:ascii="Times New Roman" w:eastAsia="Times New Roman" w:hAnsi="Times New Roman" w:cs="Times New Roman"/>
          <w:b/>
          <w:sz w:val="28"/>
          <w:szCs w:val="28"/>
        </w:rPr>
        <w:t>И.С.Харитонов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sz w:val="22"/>
          <w:szCs w:val="22"/>
          <w:lang w:eastAsia="zh-CN"/>
        </w:rPr>
        <w:t>Б</w:t>
      </w:r>
      <w:r w:rsidR="00A44E6C">
        <w:rPr>
          <w:sz w:val="22"/>
          <w:szCs w:val="22"/>
          <w:lang w:eastAsia="zh-CN"/>
        </w:rPr>
        <w:t>ара</w:t>
      </w:r>
      <w:r w:rsidRPr="00E50D18">
        <w:rPr>
          <w:sz w:val="22"/>
          <w:szCs w:val="22"/>
          <w:lang w:eastAsia="zh-CN"/>
        </w:rPr>
        <w:t>новского</w:t>
      </w:r>
      <w:r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72425B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737F07" w:rsidRPr="00E50D1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31.03.</w:t>
      </w:r>
      <w:r w:rsidR="0085640F" w:rsidRPr="00E50D18">
        <w:rPr>
          <w:color w:val="000000"/>
          <w:sz w:val="22"/>
          <w:szCs w:val="22"/>
        </w:rPr>
        <w:t> </w:t>
      </w:r>
      <w:r w:rsidR="00737F07"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="00737F07" w:rsidRPr="00E50D18">
        <w:rPr>
          <w:color w:val="000000"/>
          <w:sz w:val="22"/>
          <w:szCs w:val="22"/>
        </w:rPr>
        <w:t>г.  №</w:t>
      </w:r>
      <w:r>
        <w:rPr>
          <w:color w:val="000000"/>
          <w:sz w:val="22"/>
          <w:szCs w:val="22"/>
        </w:rPr>
        <w:t xml:space="preserve"> 14</w:t>
      </w:r>
      <w:r w:rsidR="00737F07" w:rsidRPr="00E50D18">
        <w:rPr>
          <w:color w:val="000000"/>
          <w:sz w:val="22"/>
          <w:szCs w:val="22"/>
        </w:rPr>
        <w:t> 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  <w:lang w:eastAsia="zh-CN"/>
        </w:rPr>
        <w:t>Б</w:t>
      </w:r>
      <w:r w:rsidR="00A44E6C">
        <w:rPr>
          <w:sz w:val="22"/>
          <w:szCs w:val="22"/>
          <w:lang w:eastAsia="zh-CN"/>
        </w:rPr>
        <w:t>ара</w:t>
      </w:r>
      <w:r w:rsidRPr="00C24748">
        <w:rPr>
          <w:sz w:val="22"/>
          <w:szCs w:val="22"/>
          <w:lang w:eastAsia="zh-CN"/>
        </w:rPr>
        <w:t>новского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</w:t>
      </w:r>
      <w:r w:rsidR="00A44E6C">
        <w:rPr>
          <w:sz w:val="22"/>
          <w:szCs w:val="22"/>
        </w:rPr>
        <w:t xml:space="preserve"> </w:t>
      </w:r>
      <w:r w:rsidRPr="00C24748">
        <w:rPr>
          <w:sz w:val="22"/>
          <w:szCs w:val="22"/>
        </w:rPr>
        <w:t>г.  №38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037450" w:rsidRPr="00E50D18">
        <w:rPr>
          <w:b/>
          <w:color w:val="000000"/>
        </w:rPr>
        <w:t>Б</w:t>
      </w:r>
      <w:r w:rsidR="00A44E6C">
        <w:rPr>
          <w:b/>
          <w:color w:val="000000"/>
        </w:rPr>
        <w:t>ара</w:t>
      </w:r>
      <w:r w:rsidR="00037450" w:rsidRPr="00E50D18">
        <w:rPr>
          <w:b/>
          <w:color w:val="000000"/>
        </w:rPr>
        <w:t xml:space="preserve">новского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037450">
        <w:rPr>
          <w:color w:val="000000"/>
        </w:rPr>
        <w:t>Б</w:t>
      </w:r>
      <w:r w:rsidR="00A44E6C">
        <w:rPr>
          <w:color w:val="000000"/>
        </w:rPr>
        <w:t>ара</w:t>
      </w:r>
      <w:r w:rsidR="00037450">
        <w:rPr>
          <w:color w:val="000000"/>
        </w:rPr>
        <w:t xml:space="preserve">новского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037450">
        <w:rPr>
          <w:color w:val="000000"/>
        </w:rPr>
        <w:t>Б</w:t>
      </w:r>
      <w:r w:rsidR="00A44E6C">
        <w:rPr>
          <w:color w:val="000000"/>
        </w:rPr>
        <w:t>ара</w:t>
      </w:r>
      <w:r w:rsidR="00037450">
        <w:rPr>
          <w:color w:val="000000"/>
        </w:rPr>
        <w:t xml:space="preserve">новского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037450" w:rsidRPr="00887C20">
        <w:rPr>
          <w:color w:val="000000"/>
        </w:rPr>
        <w:t>Б</w:t>
      </w:r>
      <w:r w:rsidR="00A44E6C">
        <w:rPr>
          <w:color w:val="000000"/>
        </w:rPr>
        <w:t>ара</w:t>
      </w:r>
      <w:r w:rsidR="00037450" w:rsidRPr="00887C20">
        <w:rPr>
          <w:color w:val="000000"/>
        </w:rPr>
        <w:t>новского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037450" w:rsidRPr="00887C20">
        <w:rPr>
          <w:color w:val="000000"/>
        </w:rPr>
        <w:t>Б</w:t>
      </w:r>
      <w:r w:rsidR="00A44E6C">
        <w:rPr>
          <w:color w:val="000000"/>
        </w:rPr>
        <w:t>арано</w:t>
      </w:r>
      <w:r w:rsidR="00037450" w:rsidRPr="00887C20">
        <w:rPr>
          <w:color w:val="000000"/>
        </w:rPr>
        <w:t xml:space="preserve">вского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037450" w:rsidRPr="00887C20">
        <w:rPr>
          <w:color w:val="000000"/>
        </w:rPr>
        <w:t>Б</w:t>
      </w:r>
      <w:r w:rsidR="00A44E6C">
        <w:rPr>
          <w:color w:val="000000"/>
        </w:rPr>
        <w:t>ара</w:t>
      </w:r>
      <w:r w:rsidR="00037450" w:rsidRPr="00887C20">
        <w:rPr>
          <w:color w:val="000000"/>
        </w:rPr>
        <w:t>новского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037450" w:rsidRPr="00887C20">
        <w:rPr>
          <w:color w:val="000000"/>
        </w:rPr>
        <w:t>Б</w:t>
      </w:r>
      <w:r w:rsidR="00A44E6C">
        <w:rPr>
          <w:color w:val="000000"/>
        </w:rPr>
        <w:t>ара</w:t>
      </w:r>
      <w:r w:rsidR="00037450" w:rsidRPr="00887C20">
        <w:rPr>
          <w:color w:val="000000"/>
        </w:rPr>
        <w:t xml:space="preserve">новского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r w:rsidR="004F7083" w:rsidRPr="00887C20">
        <w:t>Б</w:t>
      </w:r>
      <w:r w:rsidR="00A44E6C">
        <w:t>ара</w:t>
      </w:r>
      <w:r w:rsidR="004F7083" w:rsidRPr="00887C20">
        <w:t>новского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r w:rsidR="00E50D18" w:rsidRPr="00887C20">
        <w:t>Б</w:t>
      </w:r>
      <w:r w:rsidR="002F3BCD">
        <w:t>ара</w:t>
      </w:r>
      <w:r w:rsidR="00E50D18" w:rsidRPr="00887C20">
        <w:t>новского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 земельных участках, находящихся в муниципальной собственности Б</w:t>
      </w:r>
      <w:r w:rsidR="002F3BCD">
        <w:t>ара</w:t>
      </w:r>
      <w:r w:rsidRPr="00887C20">
        <w:t>новского муниципального образования, - в соответствии с Положением о</w:t>
      </w:r>
      <w:r w:rsidRPr="006A68FD">
        <w:t xml:space="preserve"> проведении торгов в </w:t>
      </w:r>
      <w:r w:rsidRPr="006A68FD">
        <w:lastRenderedPageBreak/>
        <w:t xml:space="preserve">форме аукциона на право размещения нестационарных торговых объектов (приложение </w:t>
      </w:r>
      <w:r w:rsidR="0072425B">
        <w:t xml:space="preserve"> </w:t>
      </w:r>
      <w:r w:rsidRPr="006A68FD">
        <w:t>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 земельных участках, находящихся в муниципальной собственности Б</w:t>
      </w:r>
      <w:r w:rsidR="002F3BCD">
        <w:t>ара</w:t>
      </w:r>
      <w:r w:rsidRPr="006A68FD">
        <w:t>новского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037450" w:rsidRPr="006A68FD">
        <w:rPr>
          <w:color w:val="000000"/>
        </w:rPr>
        <w:t>Б</w:t>
      </w:r>
      <w:r w:rsidR="002F3BCD">
        <w:rPr>
          <w:color w:val="000000"/>
        </w:rPr>
        <w:t>ара</w:t>
      </w:r>
      <w:r w:rsidR="00037450" w:rsidRPr="006A68FD">
        <w:rPr>
          <w:color w:val="000000"/>
        </w:rPr>
        <w:t xml:space="preserve">новского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lastRenderedPageBreak/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>как в местах, предусмотренных схемой размещения нестационарных торговых объектов на территории Б</w:t>
      </w:r>
      <w:r w:rsidR="002F3BCD">
        <w:rPr>
          <w:rFonts w:ascii="Times New Roman" w:hAnsi="Times New Roman" w:cs="Times New Roman"/>
          <w:sz w:val="24"/>
          <w:szCs w:val="24"/>
        </w:rPr>
        <w:t>ара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новского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2.3. Администрации Б</w:t>
      </w:r>
      <w:r w:rsidR="002F3BCD">
        <w:t>ара</w:t>
      </w:r>
      <w:r w:rsidRPr="005F6F88">
        <w:t xml:space="preserve">новского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Б</w:t>
      </w:r>
      <w:r w:rsidR="002F3BCD">
        <w:t>ара</w:t>
      </w:r>
      <w:r w:rsidRPr="005F6F88">
        <w:t>новского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>ехнических требований к размещению НТО на территории Б</w:t>
      </w:r>
      <w:r w:rsidR="002F3BCD">
        <w:rPr>
          <w:rFonts w:ascii="Times New Roman" w:hAnsi="Times New Roman" w:cs="Times New Roman"/>
          <w:sz w:val="24"/>
          <w:szCs w:val="24"/>
        </w:rPr>
        <w:t>ара</w:t>
      </w:r>
      <w:r w:rsidRPr="005F6F88">
        <w:rPr>
          <w:rFonts w:ascii="Times New Roman" w:hAnsi="Times New Roman" w:cs="Times New Roman"/>
          <w:sz w:val="24"/>
          <w:szCs w:val="24"/>
        </w:rPr>
        <w:t>новского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C52172" w:rsidRPr="005F6F88">
        <w:rPr>
          <w:rFonts w:ascii="Times New Roman" w:hAnsi="Times New Roman" w:cs="Times New Roman"/>
          <w:sz w:val="24"/>
          <w:szCs w:val="24"/>
        </w:rPr>
        <w:t>Б</w:t>
      </w:r>
      <w:r w:rsidR="002F3BCD">
        <w:rPr>
          <w:rFonts w:ascii="Times New Roman" w:hAnsi="Times New Roman" w:cs="Times New Roman"/>
          <w:sz w:val="24"/>
          <w:szCs w:val="24"/>
        </w:rPr>
        <w:t>ара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новского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r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1729DB" w:rsidRPr="005F6F88">
        <w:rPr>
          <w:bCs/>
        </w:rPr>
        <w:t>Б</w:t>
      </w:r>
      <w:r w:rsidR="002F3BCD">
        <w:rPr>
          <w:bCs/>
        </w:rPr>
        <w:t>ара</w:t>
      </w:r>
      <w:r w:rsidR="001729DB" w:rsidRPr="005F6F88">
        <w:rPr>
          <w:bCs/>
        </w:rPr>
        <w:t>новского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1729DB" w:rsidRPr="005F6F88">
          <w:rPr>
            <w:bCs/>
          </w:rPr>
          <w:t>Б</w:t>
        </w:r>
        <w:r w:rsidR="002F3BCD">
          <w:rPr>
            <w:bCs/>
          </w:rPr>
          <w:t>ара</w:t>
        </w:r>
        <w:r w:rsidR="001729DB" w:rsidRPr="005F6F88">
          <w:rPr>
            <w:bCs/>
          </w:rPr>
          <w:t>новского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38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7A06CA">
        <w:rPr>
          <w:color w:val="000000"/>
        </w:rPr>
        <w:t>Б</w:t>
      </w:r>
      <w:r w:rsidR="002F3BCD">
        <w:rPr>
          <w:color w:val="000000"/>
        </w:rPr>
        <w:t>ара</w:t>
      </w:r>
      <w:r w:rsidR="007A06CA">
        <w:rPr>
          <w:color w:val="000000"/>
        </w:rPr>
        <w:t>новского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7A06CA">
        <w:rPr>
          <w:color w:val="000000"/>
        </w:rPr>
        <w:t>Б</w:t>
      </w:r>
      <w:r w:rsidR="002F3BCD">
        <w:rPr>
          <w:color w:val="000000"/>
        </w:rPr>
        <w:t>ара</w:t>
      </w:r>
      <w:r w:rsidR="007A06CA">
        <w:rPr>
          <w:color w:val="000000"/>
        </w:rPr>
        <w:t>новского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t>в бюджет Б</w:t>
      </w:r>
      <w:r w:rsidR="002F3BCD">
        <w:t>ара</w:t>
      </w:r>
      <w:r w:rsidRPr="00E024DE">
        <w:t>новского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Б</w:t>
      </w:r>
      <w:r w:rsidR="002F3BCD">
        <w:t>ара</w:t>
      </w:r>
      <w:r w:rsidRPr="00E024DE">
        <w:t>новского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lastRenderedPageBreak/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2425B" w:rsidRDefault="0072425B" w:rsidP="003727BE">
      <w:pPr>
        <w:pStyle w:val="a3"/>
        <w:spacing w:before="0" w:beforeAutospacing="0" w:after="0" w:afterAutospacing="0"/>
        <w:jc w:val="both"/>
        <w:rPr>
          <w:b/>
        </w:rPr>
      </w:pP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Pr="00C24748">
        <w:rPr>
          <w:b/>
          <w:bCs/>
          <w:bdr w:val="none" w:sz="0" w:space="0" w:color="auto" w:frame="1"/>
        </w:rPr>
        <w:t>Б</w:t>
      </w:r>
      <w:r w:rsidR="002F3BCD">
        <w:rPr>
          <w:b/>
          <w:bCs/>
          <w:bdr w:val="none" w:sz="0" w:space="0" w:color="auto" w:frame="1"/>
        </w:rPr>
        <w:t>ара</w:t>
      </w:r>
      <w:r w:rsidRPr="00C24748">
        <w:rPr>
          <w:b/>
          <w:bCs/>
          <w:bdr w:val="none" w:sz="0" w:space="0" w:color="auto" w:frame="1"/>
        </w:rPr>
        <w:t>новского</w:t>
      </w:r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</w:t>
      </w:r>
      <w:r w:rsidR="007242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F3B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F3BCD">
        <w:rPr>
          <w:rFonts w:ascii="Times New Roman" w:eastAsia="Times New Roman" w:hAnsi="Times New Roman" w:cs="Times New Roman"/>
          <w:b/>
          <w:sz w:val="24"/>
          <w:szCs w:val="24"/>
        </w:rPr>
        <w:t>И.С.Харитонов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44EF3" w:rsidRDefault="00A44EF3" w:rsidP="003727BE">
      <w:pPr>
        <w:pStyle w:val="a3"/>
        <w:spacing w:before="0" w:beforeAutospacing="0" w:after="0" w:afterAutospacing="0"/>
        <w:ind w:left="3686"/>
        <w:jc w:val="right"/>
        <w:rPr>
          <w:color w:val="000000"/>
        </w:rPr>
      </w:pPr>
    </w:p>
    <w:p w:rsidR="00A44EF3" w:rsidRDefault="00A44EF3" w:rsidP="003727BE">
      <w:pPr>
        <w:pStyle w:val="a3"/>
        <w:spacing w:before="0" w:beforeAutospacing="0" w:after="0" w:afterAutospacing="0"/>
        <w:ind w:left="3686"/>
        <w:jc w:val="right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>нестационарных торговых объектов на территории Б</w:t>
      </w:r>
      <w:r w:rsidR="00A44EF3">
        <w:rPr>
          <w:color w:val="000000"/>
        </w:rPr>
        <w:t>ара</w:t>
      </w:r>
      <w:r w:rsidRPr="00E50D18">
        <w:rPr>
          <w:color w:val="000000"/>
        </w:rPr>
        <w:t>новского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1D70E9">
        <w:rPr>
          <w:color w:val="000000"/>
        </w:rPr>
        <w:t>Б</w:t>
      </w:r>
      <w:r w:rsidR="00A44EF3">
        <w:rPr>
          <w:color w:val="000000"/>
        </w:rPr>
        <w:t>ара</w:t>
      </w:r>
      <w:r w:rsidR="001D70E9">
        <w:rPr>
          <w:color w:val="000000"/>
        </w:rPr>
        <w:t xml:space="preserve">новского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r w:rsidR="00E024DE" w:rsidRPr="00E50D18">
        <w:t>Б</w:t>
      </w:r>
      <w:r w:rsidR="00A44EF3">
        <w:t>ара</w:t>
      </w:r>
      <w:r w:rsidR="00E024DE" w:rsidRPr="00E50D18">
        <w:t>новского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E50D18">
        <w:rPr>
          <w:color w:val="000000"/>
        </w:rPr>
        <w:t>Б</w:t>
      </w:r>
      <w:r w:rsidR="00A44EF3">
        <w:rPr>
          <w:color w:val="000000"/>
        </w:rPr>
        <w:t>ара</w:t>
      </w:r>
      <w:r w:rsidR="00E50D18">
        <w:rPr>
          <w:color w:val="000000"/>
        </w:rPr>
        <w:t>новского</w:t>
      </w:r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«Шаг аукциона» устанавливается в размере пятипроцентов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Pr="00C24830">
        <w:t>- Вольск.</w:t>
      </w:r>
      <w:r w:rsidR="00EC2937" w:rsidRPr="00C24830">
        <w:t>РФ - на вкладке «Б</w:t>
      </w:r>
      <w:r w:rsidR="00A44EF3">
        <w:t>ара</w:t>
      </w:r>
      <w:r w:rsidR="00EC2937" w:rsidRPr="00C24830">
        <w:t xml:space="preserve">новского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(далее-заявка)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4C10FE">
        <w:rPr>
          <w:color w:val="000000"/>
        </w:rPr>
        <w:t>Б</w:t>
      </w:r>
      <w:r w:rsidR="00A44EF3">
        <w:rPr>
          <w:color w:val="000000"/>
        </w:rPr>
        <w:t>ара</w:t>
      </w:r>
      <w:r w:rsidR="004C10FE">
        <w:rPr>
          <w:color w:val="000000"/>
        </w:rPr>
        <w:t>новского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непоступления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85640F" w:rsidRPr="00C247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</w:t>
      </w:r>
      <w:r w:rsidR="00A44E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ара</w:t>
      </w:r>
      <w:r w:rsidR="0085640F" w:rsidRPr="00C247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новского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</w:t>
      </w:r>
      <w:r w:rsidR="00A44E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2425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44E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4EF3">
        <w:rPr>
          <w:rFonts w:ascii="Times New Roman" w:eastAsia="Times New Roman" w:hAnsi="Times New Roman" w:cs="Times New Roman"/>
          <w:b/>
          <w:sz w:val="24"/>
          <w:szCs w:val="24"/>
        </w:rPr>
        <w:t>И.С.Харитонов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>на территории Б</w:t>
      </w:r>
      <w:r w:rsidR="008B32D1">
        <w:rPr>
          <w:color w:val="000000"/>
          <w:sz w:val="22"/>
          <w:szCs w:val="22"/>
        </w:rPr>
        <w:t>ара</w:t>
      </w:r>
      <w:r w:rsidRPr="00D37422">
        <w:rPr>
          <w:color w:val="000000"/>
          <w:sz w:val="22"/>
          <w:szCs w:val="22"/>
        </w:rPr>
        <w:t>новского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1D4C21" w:rsidRPr="00D37422">
        <w:rPr>
          <w:b/>
          <w:color w:val="000000"/>
        </w:rPr>
        <w:t>Б</w:t>
      </w:r>
      <w:r w:rsidR="008B32D1">
        <w:rPr>
          <w:b/>
          <w:color w:val="000000"/>
        </w:rPr>
        <w:t>ара</w:t>
      </w:r>
      <w:r w:rsidR="001D4C21" w:rsidRPr="00D37422">
        <w:rPr>
          <w:b/>
          <w:color w:val="000000"/>
        </w:rPr>
        <w:t xml:space="preserve">новского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1D4C21">
        <w:rPr>
          <w:color w:val="000000"/>
        </w:rPr>
        <w:t>Б</w:t>
      </w:r>
      <w:r w:rsidR="008B32D1">
        <w:rPr>
          <w:color w:val="000000"/>
        </w:rPr>
        <w:t>ара</w:t>
      </w:r>
      <w:r w:rsidR="001D4C21">
        <w:rPr>
          <w:color w:val="000000"/>
        </w:rPr>
        <w:t>новского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r w:rsidR="00614C40" w:rsidRPr="00E50D18">
        <w:t>Б</w:t>
      </w:r>
      <w:r w:rsidR="008B32D1">
        <w:t>ара</w:t>
      </w:r>
      <w:r w:rsidR="00614C40" w:rsidRPr="00E50D18">
        <w:t>новского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49319E" w:rsidRPr="0049319E">
        <w:t>Б</w:t>
      </w:r>
      <w:r w:rsidR="008B32D1">
        <w:t>ара</w:t>
      </w:r>
      <w:r w:rsidR="0049319E" w:rsidRPr="0049319E">
        <w:t>новского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49319E" w:rsidRPr="0049319E">
        <w:t>Б</w:t>
      </w:r>
      <w:r w:rsidR="008B32D1">
        <w:t>ара</w:t>
      </w:r>
      <w:r w:rsidR="0049319E" w:rsidRPr="0049319E">
        <w:t xml:space="preserve">новского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Б</w:t>
      </w:r>
      <w:r w:rsidR="008B32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ара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новского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</w:t>
      </w:r>
      <w:r w:rsidR="007242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</w:t>
      </w:r>
      <w:r w:rsidR="008B32D1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8B32D1">
        <w:rPr>
          <w:rFonts w:ascii="Times New Roman" w:eastAsia="Times New Roman" w:hAnsi="Times New Roman" w:cs="Times New Roman"/>
          <w:b/>
          <w:sz w:val="27"/>
          <w:szCs w:val="27"/>
        </w:rPr>
        <w:t>И.С.Харитонов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>на территории Б</w:t>
      </w:r>
      <w:r w:rsidR="008B32D1">
        <w:rPr>
          <w:sz w:val="22"/>
          <w:szCs w:val="22"/>
        </w:rPr>
        <w:t>ара</w:t>
      </w:r>
      <w:r w:rsidRPr="003727BE">
        <w:rPr>
          <w:sz w:val="22"/>
          <w:szCs w:val="22"/>
        </w:rPr>
        <w:t>новского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ю Б</w:t>
      </w:r>
      <w:r w:rsidR="008B32D1">
        <w:rPr>
          <w:rFonts w:ascii="Times New Roman" w:eastAsia="Times New Roman" w:hAnsi="Times New Roman" w:cs="Times New Roman"/>
          <w:sz w:val="24"/>
          <w:szCs w:val="24"/>
        </w:rPr>
        <w:t>ара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Б</w:t>
      </w:r>
      <w:r w:rsidR="008B32D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ара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новского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</w:t>
      </w:r>
      <w:r w:rsidR="008B32D1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242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</w:t>
      </w:r>
      <w:r w:rsidR="008B32D1">
        <w:rPr>
          <w:rFonts w:ascii="Times New Roman" w:eastAsia="Times New Roman" w:hAnsi="Times New Roman" w:cs="Times New Roman"/>
          <w:b/>
          <w:sz w:val="27"/>
          <w:szCs w:val="27"/>
        </w:rPr>
        <w:t>И.С.Харитонов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C2" w:rsidRDefault="00D67FC2" w:rsidP="00D37422">
      <w:pPr>
        <w:spacing w:after="0" w:line="240" w:lineRule="auto"/>
      </w:pPr>
      <w:r>
        <w:separator/>
      </w:r>
    </w:p>
  </w:endnote>
  <w:endnote w:type="continuationSeparator" w:id="0">
    <w:p w:rsidR="00D67FC2" w:rsidRDefault="00D67FC2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6D6F2D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BB50CA">
          <w:rPr>
            <w:rFonts w:ascii="Times New Roman" w:hAnsi="Times New Roman" w:cs="Times New Roman"/>
            <w:noProof/>
          </w:rPr>
          <w:t>2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C2" w:rsidRDefault="00D67FC2" w:rsidP="00D37422">
      <w:pPr>
        <w:spacing w:after="0" w:line="240" w:lineRule="auto"/>
      </w:pPr>
      <w:r>
        <w:separator/>
      </w:r>
    </w:p>
  </w:footnote>
  <w:footnote w:type="continuationSeparator" w:id="0">
    <w:p w:rsidR="00D67FC2" w:rsidRDefault="00D67FC2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65B"/>
    <w:rsid w:val="00037450"/>
    <w:rsid w:val="00086008"/>
    <w:rsid w:val="0008712B"/>
    <w:rsid w:val="000C6156"/>
    <w:rsid w:val="001729DB"/>
    <w:rsid w:val="001D4C21"/>
    <w:rsid w:val="001D70E9"/>
    <w:rsid w:val="001F3455"/>
    <w:rsid w:val="002077E2"/>
    <w:rsid w:val="0027066F"/>
    <w:rsid w:val="002A3A3F"/>
    <w:rsid w:val="002F3BCD"/>
    <w:rsid w:val="00322684"/>
    <w:rsid w:val="003727BE"/>
    <w:rsid w:val="003B1ABE"/>
    <w:rsid w:val="003B6CA3"/>
    <w:rsid w:val="003C0D96"/>
    <w:rsid w:val="003D0AA8"/>
    <w:rsid w:val="003E79B3"/>
    <w:rsid w:val="0044556E"/>
    <w:rsid w:val="0049165B"/>
    <w:rsid w:val="0049319E"/>
    <w:rsid w:val="004C10FE"/>
    <w:rsid w:val="004D3571"/>
    <w:rsid w:val="004F7083"/>
    <w:rsid w:val="005C7318"/>
    <w:rsid w:val="005E0485"/>
    <w:rsid w:val="005F6F88"/>
    <w:rsid w:val="00614C40"/>
    <w:rsid w:val="006874DA"/>
    <w:rsid w:val="006A68FD"/>
    <w:rsid w:val="006B5D7C"/>
    <w:rsid w:val="006D6F2D"/>
    <w:rsid w:val="006E5C93"/>
    <w:rsid w:val="006F10C0"/>
    <w:rsid w:val="0072425B"/>
    <w:rsid w:val="00737F07"/>
    <w:rsid w:val="0076199C"/>
    <w:rsid w:val="007859B4"/>
    <w:rsid w:val="00787C5D"/>
    <w:rsid w:val="00795150"/>
    <w:rsid w:val="007A06CA"/>
    <w:rsid w:val="007F02BE"/>
    <w:rsid w:val="0085640F"/>
    <w:rsid w:val="00887C20"/>
    <w:rsid w:val="008A2034"/>
    <w:rsid w:val="008B32D1"/>
    <w:rsid w:val="008C35F9"/>
    <w:rsid w:val="008D3694"/>
    <w:rsid w:val="008D44C5"/>
    <w:rsid w:val="008F1C81"/>
    <w:rsid w:val="00913F52"/>
    <w:rsid w:val="00933B22"/>
    <w:rsid w:val="00944BBE"/>
    <w:rsid w:val="009476EE"/>
    <w:rsid w:val="00983729"/>
    <w:rsid w:val="009938E1"/>
    <w:rsid w:val="009F6536"/>
    <w:rsid w:val="00A44E6C"/>
    <w:rsid w:val="00A44EF3"/>
    <w:rsid w:val="00A57BB1"/>
    <w:rsid w:val="00A61807"/>
    <w:rsid w:val="00AB4D62"/>
    <w:rsid w:val="00B35DCC"/>
    <w:rsid w:val="00B504F0"/>
    <w:rsid w:val="00B91483"/>
    <w:rsid w:val="00BB3FA1"/>
    <w:rsid w:val="00BB50CA"/>
    <w:rsid w:val="00C24748"/>
    <w:rsid w:val="00C24830"/>
    <w:rsid w:val="00C35E80"/>
    <w:rsid w:val="00C52172"/>
    <w:rsid w:val="00C77F35"/>
    <w:rsid w:val="00D37422"/>
    <w:rsid w:val="00D4233F"/>
    <w:rsid w:val="00D62EC5"/>
    <w:rsid w:val="00D67FC2"/>
    <w:rsid w:val="00E024DE"/>
    <w:rsid w:val="00E50D18"/>
    <w:rsid w:val="00E53875"/>
    <w:rsid w:val="00EC2937"/>
    <w:rsid w:val="00F60603"/>
    <w:rsid w:val="00FA2006"/>
    <w:rsid w:val="00FB267D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19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43</cp:revision>
  <cp:lastPrinted>2022-03-24T06:28:00Z</cp:lastPrinted>
  <dcterms:created xsi:type="dcterms:W3CDTF">2022-03-22T09:39:00Z</dcterms:created>
  <dcterms:modified xsi:type="dcterms:W3CDTF">2022-04-08T07:42:00Z</dcterms:modified>
</cp:coreProperties>
</file>